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 the People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“The Voir Dire – Jury Selection – Review Assignment”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Mr. Fernandez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The _____ (#) Amendment to the U.S. Constitution protects the natural right to a trial by jury in criminal trials.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The _____ (#) Amendment to the U.S. Constitution protects the natural right to a trial by jury in civil trials.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The __________ is the jury pool from which the trial jury is selected.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In the state of TN, there are ________ (#) jurors selected, as well as ________ (#) alternates for criminal cases.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In all capital cases, meaning cases involving the death penalty, the jury must return with a ____________ verdict.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A jury that cannot reach a unanimous decision will, at some point determined by the judge, be consider to be a “________ jury.”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There are six goals of the American legal system – list them below: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List or explain two specific ways a criminal lawsuit differs from a civil lawsuit.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Create a set of three questions that prosecuting attorneys might ask of the venire, and desire a positive response (yes), during the voir dire for the trial of Paul Dennis Reid for the murder of the two girls from Baskin Robbins: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 Create a set of three questions that defense attorneys might ask of the venire, and desire a positive response (yes), during the voir dire for the trial of Paul Dennis Reid for the murder of the two girls from Baskin Robbins: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