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 the People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 xml:space="preserve">Article Review -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Thank Goodness for the Independence of America</w:t>
      </w:r>
      <w:r>
        <w:rPr>
          <w:b w:val="1"/>
          <w:bCs w:val="1"/>
          <w:i w:val="1"/>
          <w:iCs w:val="1"/>
          <w:rtl w:val="0"/>
          <w:lang w:val="en-US"/>
        </w:rPr>
        <w:t>’</w:t>
      </w:r>
      <w:r>
        <w:rPr>
          <w:b w:val="1"/>
          <w:bCs w:val="1"/>
          <w:i w:val="1"/>
          <w:iCs w:val="1"/>
          <w:rtl w:val="0"/>
          <w:lang w:val="en-US"/>
        </w:rPr>
        <w:t>s Judiciary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Please respond to the following before you review the article: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Based upon the interview of the three Supreme Court justices, briefly define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judicial independence.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Additionally, based upon the interview, briefly explain the significance of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judicial independence.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Please respond to the following as you read the article: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would former Chief Justice Rehnquist perhaps be proud of the current federal court system?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do you think that many outsiders consider America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legal system to be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gold standard?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Give two supporting thoughts.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In what three specific ways does the U.S. Constitution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insulate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federal judges from political pressure?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In the interview you watched yesterday, Justice Stephen Breyer spoke of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telephone justice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in Russia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 xml:space="preserve">how does this article specifically support that idea?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do you think oppressive regimes tend to attack their judicial branches? Explain your thoughts.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Give two specific and recent examples from American law that support the ideal of an independent American judiciary.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What is Rule 11 of the Federal Rules of Civil Procedure?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Do a little digging online and list any specific evidence, or theories, the Trump campaign has presented to the public as proof of voter fraud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give this your best shot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some evidence does exist actually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 xml:space="preserve">that does not mean anyone is guilty though - only a court can determine that! </w:t>
      </w: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