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Honors Practical Law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Weekly Goals and Objectives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  <w:rPr>
          <w:u w:val="single"/>
        </w:rPr>
      </w:pPr>
      <w:r>
        <w:rPr>
          <w:u w:val="single"/>
          <w:rtl w:val="0"/>
          <w:lang w:val="en-US"/>
        </w:rPr>
        <w:t>Monday, November 20, 2016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Goals: To consider the history of the Supreme Court in the years following the Civil War up through the Gilded and Progressive eras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particularly the lives of Justice John Marshall Harlan Jr, Justice Oliver Wendell Holmes, and Justice Stephen J. Fields.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Objectives: Take first ten minutes to review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Guided Viewing Questions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from the documentary, as well as your notes from </w:t>
      </w:r>
      <w:r>
        <w:rPr>
          <w:i w:val="1"/>
          <w:iCs w:val="1"/>
          <w:rtl w:val="0"/>
          <w:lang w:val="en-US"/>
        </w:rPr>
        <w:t>Lochner</w:t>
      </w:r>
      <w:r>
        <w:rPr>
          <w:rtl w:val="0"/>
          <w:lang w:val="en-US"/>
        </w:rPr>
        <w:t xml:space="preserve"> (1905), </w:t>
      </w:r>
      <w:r>
        <w:rPr>
          <w:i w:val="1"/>
          <w:iCs w:val="1"/>
          <w:rtl w:val="0"/>
          <w:lang w:val="en-US"/>
        </w:rPr>
        <w:t>Atkins</w:t>
      </w:r>
      <w:r>
        <w:rPr>
          <w:rtl w:val="0"/>
          <w:lang w:val="en-US"/>
        </w:rPr>
        <w:t xml:space="preserve"> (1923), and </w:t>
      </w:r>
      <w:r>
        <w:rPr>
          <w:i w:val="1"/>
          <w:iCs w:val="1"/>
          <w:rtl w:val="0"/>
          <w:lang w:val="en-US"/>
        </w:rPr>
        <w:t xml:space="preserve">West Coast Hotel </w:t>
      </w:r>
      <w:r>
        <w:rPr>
          <w:rtl w:val="0"/>
          <w:lang w:val="en-US"/>
        </w:rPr>
        <w:t>(1937).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u w:val="single"/>
        </w:rPr>
      </w:pPr>
      <w:r>
        <w:rPr>
          <w:u w:val="single"/>
          <w:rtl w:val="0"/>
          <w:lang w:val="en-US"/>
        </w:rPr>
        <w:t>Tuesday, November 21, 2016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Goals: To consider the role of logic and reasoning at the Supreme Court level.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Objectives: Complete the LSAT challenge for up to ten bonus points on the Second Grading Quarter.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